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E5FAD3" w14:textId="527C03A3" w:rsidR="00E53DA6" w:rsidRDefault="00E53DA6" w:rsidP="009B65A1">
      <w:pPr>
        <w:rPr>
          <w:rFonts w:ascii="Arial" w:hAnsi="Arial"/>
          <w:b/>
          <w:sz w:val="20"/>
        </w:rPr>
      </w:pPr>
      <w:r>
        <w:rPr>
          <w:rFonts w:ascii="Arial" w:hAnsi="Arial"/>
          <w:b/>
          <w:noProof/>
          <w:sz w:val="20"/>
          <w:lang w:eastAsia="de-DE"/>
        </w:rPr>
        <w:drawing>
          <wp:inline distT="0" distB="0" distL="0" distR="0" wp14:anchorId="7236D632" wp14:editId="1E2A2938">
            <wp:extent cx="5740400" cy="2980055"/>
            <wp:effectExtent l="0" t="0" r="0" b="0"/>
            <wp:docPr id="1" name="Bild 1" descr="Macintosh HD:Users:simonkirsch:Desktop:Galerie:lila.polenaki-pittroff2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imonkirsch:Desktop:Galerie:lila.polenaki-pittroff2 Kopi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0400" cy="2980055"/>
                    </a:xfrm>
                    <a:prstGeom prst="rect">
                      <a:avLst/>
                    </a:prstGeom>
                    <a:noFill/>
                    <a:ln>
                      <a:noFill/>
                    </a:ln>
                  </pic:spPr>
                </pic:pic>
              </a:graphicData>
            </a:graphic>
          </wp:inline>
        </w:drawing>
      </w:r>
    </w:p>
    <w:p w14:paraId="7AA46A30" w14:textId="68B2C2B8" w:rsidR="00E53DA6" w:rsidRPr="00E53DA6" w:rsidRDefault="00E53DA6" w:rsidP="009B65A1">
      <w:pPr>
        <w:rPr>
          <w:rFonts w:ascii="Arial" w:hAnsi="Arial"/>
          <w:sz w:val="18"/>
          <w:szCs w:val="18"/>
        </w:rPr>
      </w:pPr>
      <w:r w:rsidRPr="00E53DA6">
        <w:rPr>
          <w:rFonts w:ascii="Arial" w:hAnsi="Arial"/>
          <w:sz w:val="18"/>
          <w:szCs w:val="18"/>
        </w:rPr>
        <w:t xml:space="preserve">Lila </w:t>
      </w:r>
      <w:proofErr w:type="spellStart"/>
      <w:r w:rsidRPr="00E53DA6">
        <w:rPr>
          <w:rFonts w:ascii="Arial" w:hAnsi="Arial"/>
          <w:sz w:val="18"/>
          <w:szCs w:val="18"/>
        </w:rPr>
        <w:t>Polenaki</w:t>
      </w:r>
      <w:proofErr w:type="spellEnd"/>
      <w:r w:rsidRPr="00E53DA6">
        <w:rPr>
          <w:rFonts w:ascii="Arial" w:hAnsi="Arial"/>
          <w:sz w:val="18"/>
          <w:szCs w:val="18"/>
        </w:rPr>
        <w:t xml:space="preserve">, </w:t>
      </w:r>
      <w:proofErr w:type="spellStart"/>
      <w:r w:rsidRPr="00E53DA6">
        <w:rPr>
          <w:rFonts w:ascii="Arial" w:hAnsi="Arial"/>
          <w:sz w:val="18"/>
          <w:szCs w:val="18"/>
        </w:rPr>
        <w:t>Metaxi</w:t>
      </w:r>
      <w:proofErr w:type="spellEnd"/>
      <w:r w:rsidRPr="00E53DA6">
        <w:rPr>
          <w:rFonts w:ascii="Arial" w:hAnsi="Arial"/>
          <w:sz w:val="18"/>
          <w:szCs w:val="18"/>
        </w:rPr>
        <w:t>, 2011</w:t>
      </w:r>
      <w:r w:rsidRPr="00E53DA6">
        <w:rPr>
          <w:rFonts w:ascii="Arial" w:hAnsi="Arial"/>
          <w:sz w:val="18"/>
          <w:szCs w:val="18"/>
        </w:rPr>
        <w:tab/>
      </w:r>
      <w:r w:rsidRPr="00E53DA6">
        <w:rPr>
          <w:rFonts w:ascii="Arial" w:hAnsi="Arial"/>
          <w:sz w:val="18"/>
          <w:szCs w:val="18"/>
        </w:rPr>
        <w:tab/>
      </w:r>
      <w:r w:rsidRPr="00E53DA6">
        <w:rPr>
          <w:rFonts w:ascii="Arial" w:hAnsi="Arial"/>
          <w:sz w:val="18"/>
          <w:szCs w:val="18"/>
        </w:rPr>
        <w:tab/>
        <w:t xml:space="preserve">Susanne </w:t>
      </w:r>
      <w:proofErr w:type="spellStart"/>
      <w:r w:rsidRPr="00E53DA6">
        <w:rPr>
          <w:rFonts w:ascii="Arial" w:hAnsi="Arial"/>
          <w:sz w:val="18"/>
          <w:szCs w:val="18"/>
        </w:rPr>
        <w:t>Pittroff</w:t>
      </w:r>
      <w:proofErr w:type="spellEnd"/>
      <w:r w:rsidRPr="00E53DA6">
        <w:rPr>
          <w:rFonts w:ascii="Arial" w:hAnsi="Arial"/>
          <w:sz w:val="18"/>
          <w:szCs w:val="18"/>
        </w:rPr>
        <w:t>, Einräumen, 2014</w:t>
      </w:r>
    </w:p>
    <w:p w14:paraId="56D41D75" w14:textId="77777777" w:rsidR="00E53DA6" w:rsidRDefault="00E53DA6" w:rsidP="009B65A1">
      <w:pPr>
        <w:rPr>
          <w:rFonts w:ascii="Arial" w:hAnsi="Arial"/>
          <w:b/>
          <w:sz w:val="20"/>
        </w:rPr>
      </w:pPr>
    </w:p>
    <w:p w14:paraId="227B032C" w14:textId="77777777" w:rsidR="00E53DA6" w:rsidRDefault="00E53DA6" w:rsidP="009B65A1">
      <w:pPr>
        <w:rPr>
          <w:rFonts w:ascii="Arial" w:hAnsi="Arial"/>
          <w:b/>
          <w:sz w:val="20"/>
        </w:rPr>
      </w:pPr>
    </w:p>
    <w:p w14:paraId="442F9FC8" w14:textId="77777777" w:rsidR="00084BCD" w:rsidRPr="001E4448" w:rsidRDefault="00084BCD" w:rsidP="009B65A1">
      <w:pPr>
        <w:rPr>
          <w:rFonts w:ascii="Arial" w:hAnsi="Arial"/>
          <w:b/>
          <w:sz w:val="20"/>
        </w:rPr>
      </w:pPr>
      <w:r w:rsidRPr="001E4448">
        <w:rPr>
          <w:rFonts w:ascii="Arial" w:hAnsi="Arial"/>
          <w:b/>
          <w:sz w:val="20"/>
        </w:rPr>
        <w:t xml:space="preserve">Lila </w:t>
      </w:r>
      <w:proofErr w:type="spellStart"/>
      <w:r w:rsidRPr="001E4448">
        <w:rPr>
          <w:rFonts w:ascii="Arial" w:hAnsi="Arial"/>
          <w:b/>
          <w:sz w:val="20"/>
        </w:rPr>
        <w:t>Polenaki</w:t>
      </w:r>
      <w:proofErr w:type="spellEnd"/>
      <w:r w:rsidRPr="001E4448">
        <w:rPr>
          <w:rFonts w:ascii="Arial" w:hAnsi="Arial"/>
          <w:b/>
          <w:sz w:val="20"/>
        </w:rPr>
        <w:t xml:space="preserve"> – Susanne </w:t>
      </w:r>
      <w:proofErr w:type="spellStart"/>
      <w:r w:rsidRPr="001E4448">
        <w:rPr>
          <w:rFonts w:ascii="Arial" w:hAnsi="Arial"/>
          <w:b/>
          <w:sz w:val="20"/>
        </w:rPr>
        <w:t>Pittroff</w:t>
      </w:r>
      <w:proofErr w:type="spellEnd"/>
    </w:p>
    <w:p w14:paraId="7211A155" w14:textId="77777777" w:rsidR="00084BCD" w:rsidRDefault="0009166A" w:rsidP="009B65A1">
      <w:pPr>
        <w:rPr>
          <w:rFonts w:ascii="Arial" w:hAnsi="Arial"/>
          <w:sz w:val="20"/>
        </w:rPr>
      </w:pPr>
      <w:r>
        <w:rPr>
          <w:rFonts w:ascii="Arial" w:hAnsi="Arial"/>
          <w:sz w:val="20"/>
        </w:rPr>
        <w:t>16.</w:t>
      </w:r>
      <w:r w:rsidR="00084BCD">
        <w:rPr>
          <w:rFonts w:ascii="Arial" w:hAnsi="Arial"/>
          <w:sz w:val="20"/>
        </w:rPr>
        <w:t xml:space="preserve">07.2015 </w:t>
      </w:r>
      <w:r>
        <w:rPr>
          <w:rFonts w:ascii="Arial" w:hAnsi="Arial"/>
          <w:sz w:val="20"/>
        </w:rPr>
        <w:t>– 31.07</w:t>
      </w:r>
      <w:r w:rsidR="00084BCD">
        <w:rPr>
          <w:rFonts w:ascii="Arial" w:hAnsi="Arial"/>
          <w:sz w:val="20"/>
        </w:rPr>
        <w:t>.2015</w:t>
      </w:r>
    </w:p>
    <w:p w14:paraId="29672660" w14:textId="77777777" w:rsidR="00084BCD" w:rsidRDefault="00084BCD" w:rsidP="009B65A1">
      <w:pPr>
        <w:rPr>
          <w:rFonts w:ascii="Arial" w:hAnsi="Arial"/>
          <w:sz w:val="20"/>
        </w:rPr>
      </w:pPr>
    </w:p>
    <w:p w14:paraId="7D219B78" w14:textId="77777777" w:rsidR="00330370" w:rsidRDefault="00330370" w:rsidP="00330370">
      <w:pPr>
        <w:jc w:val="both"/>
        <w:rPr>
          <w:rFonts w:ascii="Arial" w:hAnsi="Arial" w:cs="Arial"/>
          <w:sz w:val="20"/>
        </w:rPr>
      </w:pPr>
      <w:r>
        <w:rPr>
          <w:rFonts w:ascii="Arial" w:hAnsi="Arial" w:cs="Arial"/>
          <w:sz w:val="20"/>
          <w:lang w:val="en-GB"/>
        </w:rPr>
        <w:t xml:space="preserve">Gallery Françoise </w:t>
      </w:r>
      <w:proofErr w:type="spellStart"/>
      <w:r>
        <w:rPr>
          <w:rFonts w:ascii="Arial" w:hAnsi="Arial" w:cs="Arial"/>
          <w:sz w:val="20"/>
          <w:lang w:val="en-GB"/>
        </w:rPr>
        <w:t>Heitsch's</w:t>
      </w:r>
      <w:proofErr w:type="spellEnd"/>
      <w:r>
        <w:rPr>
          <w:rFonts w:ascii="Arial" w:hAnsi="Arial" w:cs="Arial"/>
          <w:sz w:val="20"/>
          <w:lang w:val="en-GB"/>
        </w:rPr>
        <w:t xml:space="preserve"> new exhibition will display works by the artists Lila </w:t>
      </w:r>
      <w:proofErr w:type="spellStart"/>
      <w:r>
        <w:rPr>
          <w:rFonts w:ascii="Arial" w:hAnsi="Arial" w:cs="Arial"/>
          <w:sz w:val="20"/>
          <w:lang w:val="en-GB"/>
        </w:rPr>
        <w:t>Polenaki</w:t>
      </w:r>
      <w:proofErr w:type="spellEnd"/>
      <w:r>
        <w:rPr>
          <w:rFonts w:ascii="Arial" w:hAnsi="Arial" w:cs="Arial"/>
          <w:sz w:val="20"/>
          <w:lang w:val="en-GB"/>
        </w:rPr>
        <w:t xml:space="preserve"> and Susanne </w:t>
      </w:r>
      <w:proofErr w:type="spellStart"/>
      <w:r>
        <w:rPr>
          <w:rFonts w:ascii="Arial" w:hAnsi="Arial" w:cs="Arial"/>
          <w:sz w:val="20"/>
          <w:lang w:val="en-GB"/>
        </w:rPr>
        <w:t>Pittroff</w:t>
      </w:r>
      <w:proofErr w:type="spellEnd"/>
      <w:r>
        <w:rPr>
          <w:rFonts w:ascii="Arial" w:hAnsi="Arial" w:cs="Arial"/>
          <w:sz w:val="20"/>
          <w:lang w:val="en-GB"/>
        </w:rPr>
        <w:t>.</w:t>
      </w:r>
      <w:r>
        <w:rPr>
          <w:rFonts w:ascii="Arial" w:hAnsi="Arial" w:cs="Arial"/>
          <w:sz w:val="20"/>
        </w:rPr>
        <w:t xml:space="preserve"> As different </w:t>
      </w:r>
      <w:r>
        <w:rPr>
          <w:rFonts w:ascii="Arial" w:hAnsi="Arial" w:cs="Arial"/>
          <w:sz w:val="20"/>
          <w:lang w:val="en-GB"/>
        </w:rPr>
        <w:t xml:space="preserve">as their works may appear at first glance, their affinity to </w:t>
      </w:r>
      <w:proofErr w:type="spellStart"/>
      <w:r>
        <w:rPr>
          <w:rFonts w:ascii="Arial" w:hAnsi="Arial" w:cs="Arial"/>
          <w:bCs/>
          <w:sz w:val="20"/>
          <w:lang w:val="en-GB"/>
        </w:rPr>
        <w:t>objectness</w:t>
      </w:r>
      <w:proofErr w:type="spellEnd"/>
      <w:r>
        <w:rPr>
          <w:rFonts w:ascii="Arial" w:hAnsi="Arial" w:cs="Arial"/>
          <w:sz w:val="20"/>
          <w:lang w:val="en-GB"/>
        </w:rPr>
        <w:t xml:space="preserve"> and form will eventually unite these. </w:t>
      </w:r>
    </w:p>
    <w:p w14:paraId="0D5646AE" w14:textId="77777777" w:rsidR="00330370" w:rsidRDefault="00330370" w:rsidP="00330370">
      <w:pPr>
        <w:jc w:val="both"/>
        <w:rPr>
          <w:rFonts w:ascii="Arial" w:hAnsi="Arial" w:cs="Arial"/>
          <w:sz w:val="20"/>
        </w:rPr>
      </w:pPr>
    </w:p>
    <w:p w14:paraId="41E22CE5" w14:textId="77777777" w:rsidR="00330370" w:rsidRDefault="00330370" w:rsidP="00330370">
      <w:pPr>
        <w:jc w:val="both"/>
        <w:rPr>
          <w:rFonts w:ascii="Arial" w:hAnsi="Arial" w:cs="Arial"/>
          <w:sz w:val="20"/>
          <w:lang w:val="en-GB"/>
        </w:rPr>
      </w:pPr>
      <w:r>
        <w:rPr>
          <w:rFonts w:ascii="Arial" w:hAnsi="Arial" w:cs="Arial"/>
          <w:sz w:val="20"/>
          <w:lang w:val="en-GB"/>
        </w:rPr>
        <w:t xml:space="preserve">Several smaller works by the Athenian artist Lila </w:t>
      </w:r>
      <w:proofErr w:type="spellStart"/>
      <w:r>
        <w:rPr>
          <w:rFonts w:ascii="Arial" w:hAnsi="Arial" w:cs="Arial"/>
          <w:sz w:val="20"/>
          <w:lang w:val="en-GB"/>
        </w:rPr>
        <w:t>Polenaki</w:t>
      </w:r>
      <w:proofErr w:type="spellEnd"/>
      <w:r>
        <w:rPr>
          <w:rFonts w:ascii="Arial" w:hAnsi="Arial" w:cs="Arial"/>
          <w:sz w:val="20"/>
          <w:lang w:val="en-GB"/>
        </w:rPr>
        <w:t xml:space="preserve"> will be exhibited. Despite their small size, they will capture the spectators’ attention. They appear like colourful flower bouquets, yet hold within an object-like nature. This impression will be strengthened by the idiosyncratically arranged fragments of images, book </w:t>
      </w:r>
      <w:proofErr w:type="gramStart"/>
      <w:r>
        <w:rPr>
          <w:rFonts w:ascii="Arial" w:hAnsi="Arial" w:cs="Arial"/>
          <w:sz w:val="20"/>
          <w:lang w:val="en-GB"/>
        </w:rPr>
        <w:t>cut-outs</w:t>
      </w:r>
      <w:proofErr w:type="gramEnd"/>
      <w:r>
        <w:rPr>
          <w:rFonts w:ascii="Arial" w:hAnsi="Arial" w:cs="Arial"/>
          <w:sz w:val="20"/>
          <w:lang w:val="en-GB"/>
        </w:rPr>
        <w:t xml:space="preserve">, and different fabrics. The works originate directly from the artist’s cosmos and it is this process, which provides them with a fabulous vitality. Yes, indeed, we are standing in front of a fancy birthday cake, and yet we feel as overwhelmed as if we had just encountered a mesmerizing oriental story. It makes us happy to sometimes trace her working process as well as the materials she has used. This, however, does not lessen the works’ impact on us. In fact, we develop a relationship with her images, since these remind us of what has long gone. We want to thank Lila </w:t>
      </w:r>
      <w:proofErr w:type="spellStart"/>
      <w:r>
        <w:rPr>
          <w:rFonts w:ascii="Arial" w:hAnsi="Arial" w:cs="Arial"/>
          <w:sz w:val="20"/>
          <w:lang w:val="en-GB"/>
        </w:rPr>
        <w:t>Polenaki</w:t>
      </w:r>
      <w:proofErr w:type="spellEnd"/>
      <w:r>
        <w:rPr>
          <w:rFonts w:ascii="Arial" w:hAnsi="Arial" w:cs="Arial"/>
          <w:sz w:val="20"/>
          <w:lang w:val="en-GB"/>
        </w:rPr>
        <w:t xml:space="preserve"> for capturing what we have neglected, even forgotten.</w:t>
      </w:r>
    </w:p>
    <w:p w14:paraId="1CE12310" w14:textId="77777777" w:rsidR="00330370" w:rsidRDefault="00330370" w:rsidP="00330370">
      <w:pPr>
        <w:jc w:val="both"/>
        <w:rPr>
          <w:rFonts w:ascii="Arial" w:hAnsi="Arial" w:cs="Arial"/>
          <w:sz w:val="20"/>
          <w:lang w:val="en-GB"/>
        </w:rPr>
      </w:pPr>
    </w:p>
    <w:p w14:paraId="040AD670" w14:textId="77777777" w:rsidR="00330370" w:rsidRDefault="00330370" w:rsidP="00330370">
      <w:pPr>
        <w:jc w:val="both"/>
        <w:rPr>
          <w:rFonts w:ascii="Arial" w:hAnsi="Arial" w:cs="Arial"/>
          <w:sz w:val="20"/>
          <w:lang w:val="en-GB"/>
        </w:rPr>
      </w:pPr>
      <w:r>
        <w:rPr>
          <w:rFonts w:ascii="Arial" w:hAnsi="Arial" w:cs="Arial"/>
          <w:sz w:val="20"/>
          <w:lang w:val="en-GB"/>
        </w:rPr>
        <w:t xml:space="preserve">The forms, which have been retained in </w:t>
      </w:r>
      <w:proofErr w:type="spellStart"/>
      <w:r>
        <w:rPr>
          <w:rFonts w:ascii="Arial" w:hAnsi="Arial" w:cs="Arial"/>
          <w:sz w:val="20"/>
          <w:lang w:val="en-GB"/>
        </w:rPr>
        <w:t>Polenaki’s</w:t>
      </w:r>
      <w:proofErr w:type="spellEnd"/>
      <w:r>
        <w:rPr>
          <w:rFonts w:ascii="Arial" w:hAnsi="Arial" w:cs="Arial"/>
          <w:sz w:val="20"/>
          <w:lang w:val="en-GB"/>
        </w:rPr>
        <w:t xml:space="preserve"> images, become three-dimensional objects in Susanne </w:t>
      </w:r>
      <w:proofErr w:type="spellStart"/>
      <w:r>
        <w:rPr>
          <w:rFonts w:ascii="Arial" w:hAnsi="Arial" w:cs="Arial"/>
          <w:sz w:val="20"/>
          <w:lang w:val="en-GB"/>
        </w:rPr>
        <w:t>Pittroff’s</w:t>
      </w:r>
      <w:proofErr w:type="spellEnd"/>
      <w:r>
        <w:rPr>
          <w:rFonts w:ascii="Arial" w:hAnsi="Arial" w:cs="Arial"/>
          <w:sz w:val="20"/>
          <w:lang w:val="en-GB"/>
        </w:rPr>
        <w:t xml:space="preserve"> works; objects, which enter into a conversation with their surrounding architecture.</w:t>
      </w:r>
    </w:p>
    <w:p w14:paraId="2ED12DF4" w14:textId="77777777" w:rsidR="00330370" w:rsidRDefault="00330370" w:rsidP="00330370">
      <w:pPr>
        <w:jc w:val="both"/>
        <w:rPr>
          <w:rFonts w:ascii="Arial" w:hAnsi="Arial" w:cs="Arial"/>
          <w:sz w:val="20"/>
          <w:lang w:val="en-GB"/>
        </w:rPr>
      </w:pPr>
    </w:p>
    <w:p w14:paraId="29DCA403" w14:textId="77777777" w:rsidR="00330370" w:rsidRDefault="00330370" w:rsidP="00330370">
      <w:pPr>
        <w:jc w:val="both"/>
        <w:rPr>
          <w:rFonts w:ascii="Arial" w:hAnsi="Arial" w:cs="Arial"/>
          <w:i/>
          <w:sz w:val="20"/>
          <w:lang w:val="en-GB"/>
        </w:rPr>
      </w:pPr>
      <w:r>
        <w:rPr>
          <w:rFonts w:ascii="Arial" w:hAnsi="Arial" w:cs="Arial"/>
          <w:i/>
          <w:sz w:val="20"/>
          <w:lang w:val="en-GB"/>
        </w:rPr>
        <w:t xml:space="preserve">Semper provided the covering of architecture with a crucial meaning. For him, the origin of architecture can be found in textiles, and more precisely, in the tent architecture of nomads. “[...] The idea of a system of material units whose attributes are pliability, suppleness, and toughness came about for the following reasons: </w:t>
      </w:r>
    </w:p>
    <w:p w14:paraId="108CCDAD" w14:textId="77777777" w:rsidR="00330370" w:rsidRDefault="00330370" w:rsidP="00330370">
      <w:pPr>
        <w:jc w:val="both"/>
        <w:rPr>
          <w:rFonts w:ascii="Arial" w:hAnsi="Arial" w:cs="Arial"/>
          <w:i/>
          <w:sz w:val="20"/>
          <w:lang w:val="en-GB"/>
        </w:rPr>
      </w:pPr>
    </w:p>
    <w:p w14:paraId="04BB1D60" w14:textId="77777777" w:rsidR="00330370" w:rsidRDefault="00330370" w:rsidP="00330370">
      <w:pPr>
        <w:numPr>
          <w:ilvl w:val="0"/>
          <w:numId w:val="1"/>
        </w:numPr>
        <w:suppressAutoHyphens/>
        <w:jc w:val="both"/>
        <w:rPr>
          <w:rFonts w:ascii="Arial" w:hAnsi="Arial" w:cs="Arial"/>
          <w:i/>
          <w:sz w:val="20"/>
          <w:lang w:val="en-GB"/>
        </w:rPr>
      </w:pPr>
      <w:proofErr w:type="gramStart"/>
      <w:r>
        <w:rPr>
          <w:rFonts w:ascii="Arial" w:hAnsi="Arial" w:cs="Arial"/>
          <w:i/>
          <w:sz w:val="20"/>
          <w:lang w:val="en-GB"/>
        </w:rPr>
        <w:t>to</w:t>
      </w:r>
      <w:proofErr w:type="gramEnd"/>
      <w:r>
        <w:rPr>
          <w:rFonts w:ascii="Arial" w:hAnsi="Arial" w:cs="Arial"/>
          <w:i/>
          <w:sz w:val="20"/>
          <w:lang w:val="en-GB"/>
        </w:rPr>
        <w:t xml:space="preserve"> string and to bind;</w:t>
      </w:r>
    </w:p>
    <w:p w14:paraId="19628FD8" w14:textId="77777777" w:rsidR="00330370" w:rsidRDefault="00330370" w:rsidP="00330370">
      <w:pPr>
        <w:numPr>
          <w:ilvl w:val="0"/>
          <w:numId w:val="1"/>
        </w:numPr>
        <w:suppressAutoHyphens/>
        <w:jc w:val="both"/>
        <w:rPr>
          <w:rFonts w:ascii="Arial" w:hAnsi="Arial" w:cs="Arial"/>
          <w:sz w:val="20"/>
        </w:rPr>
      </w:pPr>
      <w:proofErr w:type="gramStart"/>
      <w:r>
        <w:rPr>
          <w:rFonts w:ascii="Arial" w:hAnsi="Arial" w:cs="Arial"/>
          <w:i/>
          <w:sz w:val="20"/>
          <w:lang w:val="en-GB"/>
        </w:rPr>
        <w:t>to</w:t>
      </w:r>
      <w:proofErr w:type="gramEnd"/>
      <w:r>
        <w:rPr>
          <w:rFonts w:ascii="Arial" w:hAnsi="Arial" w:cs="Arial"/>
          <w:i/>
          <w:sz w:val="20"/>
          <w:lang w:val="en-GB"/>
        </w:rPr>
        <w:t xml:space="preserve"> cover, to protect, and to enclose.”*</w:t>
      </w:r>
    </w:p>
    <w:p w14:paraId="75350C22" w14:textId="77777777" w:rsidR="00330370" w:rsidRDefault="00330370" w:rsidP="00330370">
      <w:pPr>
        <w:jc w:val="both"/>
        <w:rPr>
          <w:rFonts w:ascii="Arial" w:hAnsi="Arial" w:cs="Arial"/>
          <w:sz w:val="20"/>
        </w:rPr>
      </w:pPr>
    </w:p>
    <w:p w14:paraId="0F1F7D2D" w14:textId="77777777" w:rsidR="00330370" w:rsidRDefault="00330370" w:rsidP="00330370">
      <w:pPr>
        <w:jc w:val="both"/>
        <w:rPr>
          <w:rFonts w:ascii="Arial" w:hAnsi="Arial" w:cs="Arial"/>
          <w:sz w:val="20"/>
          <w:lang w:val="en-GB"/>
        </w:rPr>
      </w:pPr>
      <w:r>
        <w:rPr>
          <w:rFonts w:ascii="Arial" w:hAnsi="Arial" w:cs="Arial"/>
          <w:sz w:val="20"/>
        </w:rPr>
        <w:t xml:space="preserve">Susanne </w:t>
      </w:r>
      <w:proofErr w:type="spellStart"/>
      <w:r>
        <w:rPr>
          <w:rFonts w:ascii="Arial" w:hAnsi="Arial" w:cs="Arial"/>
          <w:sz w:val="20"/>
        </w:rPr>
        <w:t>Pittroff</w:t>
      </w:r>
      <w:proofErr w:type="spellEnd"/>
      <w:r>
        <w:rPr>
          <w:rFonts w:ascii="Arial" w:hAnsi="Arial" w:cs="Arial"/>
          <w:sz w:val="20"/>
        </w:rPr>
        <w:t xml:space="preserve"> </w:t>
      </w:r>
      <w:r>
        <w:rPr>
          <w:rFonts w:ascii="Arial" w:hAnsi="Arial" w:cs="Arial"/>
          <w:sz w:val="20"/>
          <w:lang w:val="en-GB"/>
        </w:rPr>
        <w:t xml:space="preserve">draws on these thoughts and shows textile objects, which strongly contrast each other in their colour set up. The circular objects appear like coloured space-filling islands and their shape points towards those ephemeral spheres, which deal with topics such as availability, enclosure, or isolation. </w:t>
      </w:r>
      <w:proofErr w:type="spellStart"/>
      <w:r>
        <w:rPr>
          <w:rFonts w:ascii="Arial" w:hAnsi="Arial" w:cs="Arial"/>
          <w:sz w:val="20"/>
        </w:rPr>
        <w:t>Pittroff</w:t>
      </w:r>
      <w:proofErr w:type="spellEnd"/>
      <w:r>
        <w:rPr>
          <w:rFonts w:ascii="Arial" w:hAnsi="Arial" w:cs="Arial"/>
          <w:sz w:val="20"/>
        </w:rPr>
        <w:t xml:space="preserve"> </w:t>
      </w:r>
      <w:r>
        <w:rPr>
          <w:rFonts w:ascii="Arial" w:hAnsi="Arial" w:cs="Arial"/>
          <w:sz w:val="20"/>
          <w:lang w:val="en-GB"/>
        </w:rPr>
        <w:t>employs minimal means in order t</w:t>
      </w:r>
      <w:r>
        <w:rPr>
          <w:rFonts w:ascii="Arial" w:hAnsi="Arial" w:cs="Arial"/>
          <w:sz w:val="20"/>
        </w:rPr>
        <w:t xml:space="preserve">o </w:t>
      </w:r>
      <w:r>
        <w:rPr>
          <w:rFonts w:ascii="Arial" w:hAnsi="Arial" w:cs="Arial"/>
          <w:sz w:val="20"/>
          <w:lang w:val="en-GB"/>
        </w:rPr>
        <w:t>reflect upon everyday orders and spatial policies.</w:t>
      </w:r>
    </w:p>
    <w:p w14:paraId="4611CE89" w14:textId="77777777" w:rsidR="00330370" w:rsidRDefault="00330370" w:rsidP="00330370">
      <w:pPr>
        <w:jc w:val="both"/>
        <w:rPr>
          <w:rFonts w:ascii="Arial" w:hAnsi="Arial" w:cs="Arial"/>
          <w:sz w:val="20"/>
          <w:lang w:val="en-GB"/>
        </w:rPr>
      </w:pPr>
      <w:r>
        <w:rPr>
          <w:rFonts w:ascii="Arial" w:hAnsi="Arial" w:cs="Arial"/>
          <w:sz w:val="20"/>
          <w:lang w:val="en-GB"/>
        </w:rPr>
        <w:t>The symbolism and the used materials consistently open up several semantic levels set within social or political contexts.</w:t>
      </w:r>
    </w:p>
    <w:p w14:paraId="342D3789" w14:textId="77777777" w:rsidR="00330370" w:rsidRDefault="00330370" w:rsidP="00330370">
      <w:pPr>
        <w:jc w:val="both"/>
        <w:rPr>
          <w:rFonts w:ascii="Arial" w:hAnsi="Arial" w:cs="Arial"/>
          <w:sz w:val="20"/>
          <w:lang w:val="en-GB"/>
        </w:rPr>
      </w:pPr>
    </w:p>
    <w:p w14:paraId="45B84D79" w14:textId="77777777" w:rsidR="00330370" w:rsidRDefault="00330370" w:rsidP="00330370">
      <w:pPr>
        <w:jc w:val="both"/>
        <w:rPr>
          <w:rFonts w:ascii="Arial" w:hAnsi="Arial" w:cs="Arial"/>
          <w:sz w:val="20"/>
        </w:rPr>
      </w:pPr>
      <w:r>
        <w:rPr>
          <w:rFonts w:ascii="Arial" w:hAnsi="Arial" w:cs="Arial"/>
          <w:sz w:val="20"/>
          <w:lang w:val="en-GB"/>
        </w:rPr>
        <w:t xml:space="preserve">Fabrics and patterns dominate in </w:t>
      </w:r>
      <w:proofErr w:type="spellStart"/>
      <w:r>
        <w:rPr>
          <w:rFonts w:ascii="Arial" w:hAnsi="Arial" w:cs="Arial"/>
          <w:sz w:val="20"/>
          <w:lang w:val="en-GB"/>
        </w:rPr>
        <w:t>Polenaki’s</w:t>
      </w:r>
      <w:proofErr w:type="spellEnd"/>
      <w:r>
        <w:rPr>
          <w:rFonts w:ascii="Arial" w:hAnsi="Arial" w:cs="Arial"/>
          <w:sz w:val="20"/>
          <w:lang w:val="en-GB"/>
        </w:rPr>
        <w:t xml:space="preserve"> work. In Susanne </w:t>
      </w:r>
      <w:proofErr w:type="spellStart"/>
      <w:r>
        <w:rPr>
          <w:rFonts w:ascii="Arial" w:hAnsi="Arial" w:cs="Arial"/>
          <w:sz w:val="20"/>
          <w:lang w:val="en-GB"/>
        </w:rPr>
        <w:t>Pittroff’s</w:t>
      </w:r>
      <w:proofErr w:type="spellEnd"/>
      <w:r>
        <w:rPr>
          <w:rFonts w:ascii="Arial" w:hAnsi="Arial" w:cs="Arial"/>
          <w:sz w:val="20"/>
          <w:lang w:val="en-GB"/>
        </w:rPr>
        <w:t xml:space="preserve"> work, form and colour become the essential components, which not only alter the space but also our perception of it. Thus, two different </w:t>
      </w:r>
      <w:proofErr w:type="gramStart"/>
      <w:r>
        <w:rPr>
          <w:rFonts w:ascii="Arial" w:hAnsi="Arial" w:cs="Arial"/>
          <w:sz w:val="20"/>
          <w:lang w:val="en-GB"/>
        </w:rPr>
        <w:t>realms which</w:t>
      </w:r>
      <w:proofErr w:type="gramEnd"/>
      <w:r>
        <w:rPr>
          <w:rFonts w:ascii="Arial" w:hAnsi="Arial" w:cs="Arial"/>
          <w:sz w:val="20"/>
          <w:lang w:val="en-GB"/>
        </w:rPr>
        <w:t xml:space="preserve"> support and strengthen each other. On the one hand, the sublime and well thought through world in dialogue with its surrounding architecture as presented by the Munich-based artist Susanne </w:t>
      </w:r>
      <w:proofErr w:type="spellStart"/>
      <w:r>
        <w:rPr>
          <w:rFonts w:ascii="Arial" w:hAnsi="Arial" w:cs="Arial"/>
          <w:sz w:val="20"/>
          <w:lang w:val="en-GB"/>
        </w:rPr>
        <w:t>Pittroff</w:t>
      </w:r>
      <w:proofErr w:type="spellEnd"/>
      <w:r>
        <w:rPr>
          <w:rFonts w:ascii="Arial" w:hAnsi="Arial" w:cs="Arial"/>
          <w:sz w:val="20"/>
          <w:lang w:val="en-GB"/>
        </w:rPr>
        <w:t xml:space="preserve">; on the other, a playful world that draws from everyday live with a wink as shown by the Athenian artist Lila </w:t>
      </w:r>
      <w:proofErr w:type="spellStart"/>
      <w:r>
        <w:rPr>
          <w:rFonts w:ascii="Arial" w:hAnsi="Arial" w:cs="Arial"/>
          <w:sz w:val="20"/>
          <w:lang w:val="en-GB"/>
        </w:rPr>
        <w:t>Polenaki</w:t>
      </w:r>
      <w:proofErr w:type="spellEnd"/>
      <w:r>
        <w:rPr>
          <w:rFonts w:ascii="Arial" w:hAnsi="Arial" w:cs="Arial"/>
          <w:sz w:val="20"/>
          <w:lang w:val="en-GB"/>
        </w:rPr>
        <w:t xml:space="preserve">. </w:t>
      </w:r>
      <w:r>
        <w:rPr>
          <w:rFonts w:ascii="Arial" w:hAnsi="Arial" w:cs="Arial"/>
          <w:sz w:val="20"/>
        </w:rPr>
        <w:t xml:space="preserve"> </w:t>
      </w:r>
    </w:p>
    <w:p w14:paraId="4A80F878" w14:textId="77777777" w:rsidR="00330370" w:rsidRDefault="00330370" w:rsidP="00330370">
      <w:pPr>
        <w:jc w:val="both"/>
        <w:rPr>
          <w:rFonts w:ascii="Arial" w:hAnsi="Arial" w:cs="Arial"/>
          <w:sz w:val="20"/>
        </w:rPr>
      </w:pPr>
    </w:p>
    <w:p w14:paraId="50C8E172" w14:textId="77777777" w:rsidR="00330370" w:rsidRDefault="00330370" w:rsidP="00330370">
      <w:pPr>
        <w:jc w:val="both"/>
        <w:rPr>
          <w:rFonts w:ascii="Arial" w:hAnsi="Arial" w:cs="Arial"/>
          <w:sz w:val="20"/>
        </w:rPr>
      </w:pPr>
    </w:p>
    <w:p w14:paraId="457DA1B0" w14:textId="77777777" w:rsidR="00330370" w:rsidRDefault="00330370" w:rsidP="00330370">
      <w:pPr>
        <w:jc w:val="both"/>
      </w:pPr>
      <w:r>
        <w:rPr>
          <w:rFonts w:ascii="Arial" w:hAnsi="Arial" w:cs="Arial"/>
          <w:sz w:val="20"/>
        </w:rPr>
        <w:t xml:space="preserve">* Semper, Gottfried (1860). </w:t>
      </w:r>
      <w:r>
        <w:rPr>
          <w:rFonts w:ascii="Arial" w:hAnsi="Arial" w:cs="Arial"/>
          <w:i/>
          <w:sz w:val="20"/>
          <w:lang w:val="en-GB"/>
        </w:rPr>
        <w:t>Chapter 3. Textiles: A General-Formal</w:t>
      </w:r>
      <w:r>
        <w:rPr>
          <w:rFonts w:ascii="Arial" w:hAnsi="Arial" w:cs="Arial"/>
          <w:sz w:val="20"/>
        </w:rPr>
        <w:t xml:space="preserve"> in “</w:t>
      </w:r>
      <w:r>
        <w:rPr>
          <w:rFonts w:ascii="Arial" w:hAnsi="Arial" w:cs="Arial"/>
          <w:sz w:val="20"/>
          <w:lang w:val="en-GB"/>
        </w:rPr>
        <w:t xml:space="preserve">Style in the Technical and Tectonic Arts; or, Practical Aesthetics.” Trans. Harry F. </w:t>
      </w:r>
      <w:proofErr w:type="spellStart"/>
      <w:r>
        <w:rPr>
          <w:rFonts w:ascii="Arial" w:hAnsi="Arial" w:cs="Arial"/>
          <w:sz w:val="20"/>
          <w:lang w:val="en-GB"/>
        </w:rPr>
        <w:t>Mallgrave</w:t>
      </w:r>
      <w:proofErr w:type="spellEnd"/>
      <w:r>
        <w:rPr>
          <w:rFonts w:ascii="Arial" w:hAnsi="Arial" w:cs="Arial"/>
          <w:sz w:val="20"/>
          <w:lang w:val="en-GB"/>
        </w:rPr>
        <w:t xml:space="preserve"> (Santa Monica, 2004), p. 113 </w:t>
      </w:r>
    </w:p>
    <w:p w14:paraId="695A0A40" w14:textId="77777777" w:rsidR="009B65A1" w:rsidRDefault="009B65A1" w:rsidP="00330370">
      <w:bookmarkStart w:id="0" w:name="_GoBack"/>
      <w:bookmarkEnd w:id="0"/>
    </w:p>
    <w:sectPr w:rsidR="009B65A1" w:rsidSect="009B65A1">
      <w:headerReference w:type="default" r:id="rId9"/>
      <w:footerReference w:type="default" r:id="rId10"/>
      <w:pgSz w:w="11900" w:h="16840"/>
      <w:pgMar w:top="1417" w:right="1417" w:bottom="1134"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C9299F" w14:textId="77777777" w:rsidR="00E53DA6" w:rsidRDefault="00E53DA6" w:rsidP="00E53DA6">
      <w:r>
        <w:separator/>
      </w:r>
    </w:p>
  </w:endnote>
  <w:endnote w:type="continuationSeparator" w:id="0">
    <w:p w14:paraId="0D86C27A" w14:textId="77777777" w:rsidR="00E53DA6" w:rsidRDefault="00E53DA6" w:rsidP="00E53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C8745" w14:textId="61FE6377" w:rsidR="00E53DA6" w:rsidRDefault="00E53DA6" w:rsidP="00E53DA6">
    <w:pPr>
      <w:pStyle w:val="StandardWeb"/>
      <w:jc w:val="center"/>
    </w:pPr>
    <w:r>
      <w:rPr>
        <w:rFonts w:ascii="Tahoma" w:hAnsi="Tahoma" w:cs="Tahoma"/>
        <w:sz w:val="18"/>
        <w:szCs w:val="18"/>
      </w:rPr>
      <w:t>tel. +49 89 481200 • fax +49 89 481201 • fheitsch@francoiseheitsch.de • www.francoiseheitsch.de</w:t>
    </w:r>
  </w:p>
  <w:p w14:paraId="777A4010" w14:textId="77777777" w:rsidR="00E53DA6" w:rsidRDefault="00E53DA6">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FE3ADD" w14:textId="77777777" w:rsidR="00E53DA6" w:rsidRDefault="00E53DA6" w:rsidP="00E53DA6">
      <w:r>
        <w:separator/>
      </w:r>
    </w:p>
  </w:footnote>
  <w:footnote w:type="continuationSeparator" w:id="0">
    <w:p w14:paraId="72BB6952" w14:textId="77777777" w:rsidR="00E53DA6" w:rsidRDefault="00E53DA6" w:rsidP="00E53DA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36D1F1" w14:textId="472109A1" w:rsidR="00E53DA6" w:rsidRDefault="00E53DA6" w:rsidP="00E53DA6">
    <w:pPr>
      <w:pStyle w:val="StandardWeb"/>
      <w:jc w:val="center"/>
    </w:pPr>
    <w:proofErr w:type="spellStart"/>
    <w:r>
      <w:rPr>
        <w:rFonts w:ascii="Tahoma" w:hAnsi="Tahoma" w:cs="Tahoma"/>
        <w:sz w:val="28"/>
        <w:szCs w:val="28"/>
      </w:rPr>
      <w:t>Françoise</w:t>
    </w:r>
    <w:proofErr w:type="spellEnd"/>
    <w:r>
      <w:rPr>
        <w:rFonts w:ascii="Tahoma" w:hAnsi="Tahoma" w:cs="Tahoma"/>
        <w:sz w:val="28"/>
        <w:szCs w:val="28"/>
      </w:rPr>
      <w:t xml:space="preserve"> </w:t>
    </w:r>
    <w:proofErr w:type="spellStart"/>
    <w:r>
      <w:rPr>
        <w:rFonts w:ascii="Tahoma" w:hAnsi="Tahoma" w:cs="Tahoma"/>
        <w:sz w:val="28"/>
        <w:szCs w:val="28"/>
      </w:rPr>
      <w:t>Heitsch</w:t>
    </w:r>
    <w:proofErr w:type="spellEnd"/>
    <w:r>
      <w:rPr>
        <w:rFonts w:ascii="Tahoma" w:hAnsi="Tahoma" w:cs="Tahoma"/>
        <w:sz w:val="28"/>
        <w:szCs w:val="28"/>
      </w:rPr>
      <w:t xml:space="preserve"> • </w:t>
    </w:r>
    <w:proofErr w:type="spellStart"/>
    <w:r>
      <w:rPr>
        <w:rFonts w:ascii="Tahoma" w:hAnsi="Tahoma" w:cs="Tahoma"/>
        <w:sz w:val="28"/>
        <w:szCs w:val="28"/>
      </w:rPr>
      <w:t>Amalienstr</w:t>
    </w:r>
    <w:proofErr w:type="spellEnd"/>
    <w:r>
      <w:rPr>
        <w:rFonts w:ascii="Tahoma" w:hAnsi="Tahoma" w:cs="Tahoma"/>
        <w:sz w:val="28"/>
        <w:szCs w:val="28"/>
      </w:rPr>
      <w:t xml:space="preserve">. 19 • 80333 </w:t>
    </w:r>
    <w:proofErr w:type="spellStart"/>
    <w:r>
      <w:rPr>
        <w:rFonts w:ascii="Tahoma" w:hAnsi="Tahoma" w:cs="Tahoma"/>
        <w:sz w:val="28"/>
        <w:szCs w:val="28"/>
      </w:rPr>
      <w:t>München</w:t>
    </w:r>
    <w:proofErr w:type="spellEnd"/>
  </w:p>
  <w:p w14:paraId="5CE24B6C" w14:textId="77777777" w:rsidR="00E53DA6" w:rsidRDefault="00E53DA6">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0"/>
        </w:tabs>
        <w:ind w:left="720" w:hanging="360"/>
      </w:pPr>
      <w:rPr>
        <w:rFonts w:ascii="Arial" w:hAnsi="Arial" w:cs="Arial" w:hint="default"/>
        <w:i/>
        <w:sz w:val="20"/>
        <w:lang w:val="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5A1"/>
    <w:rsid w:val="0000035F"/>
    <w:rsid w:val="00084BCD"/>
    <w:rsid w:val="0009166A"/>
    <w:rsid w:val="000E39F6"/>
    <w:rsid w:val="001E4448"/>
    <w:rsid w:val="00330370"/>
    <w:rsid w:val="00414501"/>
    <w:rsid w:val="00444D25"/>
    <w:rsid w:val="0045674C"/>
    <w:rsid w:val="00695CB9"/>
    <w:rsid w:val="008B05E3"/>
    <w:rsid w:val="009B65A1"/>
    <w:rsid w:val="00B032AD"/>
    <w:rsid w:val="00B04590"/>
    <w:rsid w:val="00B53790"/>
    <w:rsid w:val="00C12BB7"/>
    <w:rsid w:val="00C337B8"/>
    <w:rsid w:val="00DF4B06"/>
    <w:rsid w:val="00E53DA6"/>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E58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0" w:defSemiHidden="0" w:defUnhideWhenUsed="0" w:defQFormat="0" w:count="276">
    <w:lsdException w:name="Normal (Web)" w:uiPriority="99"/>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rsid w:val="00E53DA6"/>
    <w:rPr>
      <w:rFonts w:ascii="Lucida Grande" w:hAnsi="Lucida Grande"/>
      <w:sz w:val="18"/>
      <w:szCs w:val="18"/>
    </w:rPr>
  </w:style>
  <w:style w:type="character" w:customStyle="1" w:styleId="SprechblasentextZeichen">
    <w:name w:val="Sprechblasentext Zeichen"/>
    <w:basedOn w:val="Absatzstandardschriftart"/>
    <w:link w:val="Sprechblasentext"/>
    <w:rsid w:val="00E53DA6"/>
    <w:rPr>
      <w:rFonts w:ascii="Lucida Grande" w:hAnsi="Lucida Grande"/>
      <w:sz w:val="18"/>
      <w:szCs w:val="18"/>
    </w:rPr>
  </w:style>
  <w:style w:type="paragraph" w:styleId="Kopfzeile">
    <w:name w:val="header"/>
    <w:basedOn w:val="Standard"/>
    <w:link w:val="KopfzeileZeichen"/>
    <w:rsid w:val="00E53DA6"/>
    <w:pPr>
      <w:tabs>
        <w:tab w:val="center" w:pos="4536"/>
        <w:tab w:val="right" w:pos="9072"/>
      </w:tabs>
    </w:pPr>
  </w:style>
  <w:style w:type="character" w:customStyle="1" w:styleId="KopfzeileZeichen">
    <w:name w:val="Kopfzeile Zeichen"/>
    <w:basedOn w:val="Absatzstandardschriftart"/>
    <w:link w:val="Kopfzeile"/>
    <w:rsid w:val="00E53DA6"/>
  </w:style>
  <w:style w:type="paragraph" w:styleId="Fuzeile">
    <w:name w:val="footer"/>
    <w:basedOn w:val="Standard"/>
    <w:link w:val="FuzeileZeichen"/>
    <w:rsid w:val="00E53DA6"/>
    <w:pPr>
      <w:tabs>
        <w:tab w:val="center" w:pos="4536"/>
        <w:tab w:val="right" w:pos="9072"/>
      </w:tabs>
    </w:pPr>
  </w:style>
  <w:style w:type="character" w:customStyle="1" w:styleId="FuzeileZeichen">
    <w:name w:val="Fußzeile Zeichen"/>
    <w:basedOn w:val="Absatzstandardschriftart"/>
    <w:link w:val="Fuzeile"/>
    <w:rsid w:val="00E53DA6"/>
  </w:style>
  <w:style w:type="paragraph" w:styleId="StandardWeb">
    <w:name w:val="Normal (Web)"/>
    <w:basedOn w:val="Standard"/>
    <w:uiPriority w:val="99"/>
    <w:unhideWhenUsed/>
    <w:rsid w:val="00E53DA6"/>
    <w:pPr>
      <w:spacing w:before="100" w:beforeAutospacing="1" w:after="100" w:afterAutospacing="1"/>
    </w:pPr>
    <w:rPr>
      <w:rFonts w:ascii="Times" w:hAnsi="Times" w:cs="Times New Roman"/>
      <w:sz w:val="20"/>
      <w:szCs w:val="20"/>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0" w:defSemiHidden="0" w:defUnhideWhenUsed="0" w:defQFormat="0" w:count="276">
    <w:lsdException w:name="Normal (Web)" w:uiPriority="99"/>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rsid w:val="00E53DA6"/>
    <w:rPr>
      <w:rFonts w:ascii="Lucida Grande" w:hAnsi="Lucida Grande"/>
      <w:sz w:val="18"/>
      <w:szCs w:val="18"/>
    </w:rPr>
  </w:style>
  <w:style w:type="character" w:customStyle="1" w:styleId="SprechblasentextZeichen">
    <w:name w:val="Sprechblasentext Zeichen"/>
    <w:basedOn w:val="Absatzstandardschriftart"/>
    <w:link w:val="Sprechblasentext"/>
    <w:rsid w:val="00E53DA6"/>
    <w:rPr>
      <w:rFonts w:ascii="Lucida Grande" w:hAnsi="Lucida Grande"/>
      <w:sz w:val="18"/>
      <w:szCs w:val="18"/>
    </w:rPr>
  </w:style>
  <w:style w:type="paragraph" w:styleId="Kopfzeile">
    <w:name w:val="header"/>
    <w:basedOn w:val="Standard"/>
    <w:link w:val="KopfzeileZeichen"/>
    <w:rsid w:val="00E53DA6"/>
    <w:pPr>
      <w:tabs>
        <w:tab w:val="center" w:pos="4536"/>
        <w:tab w:val="right" w:pos="9072"/>
      </w:tabs>
    </w:pPr>
  </w:style>
  <w:style w:type="character" w:customStyle="1" w:styleId="KopfzeileZeichen">
    <w:name w:val="Kopfzeile Zeichen"/>
    <w:basedOn w:val="Absatzstandardschriftart"/>
    <w:link w:val="Kopfzeile"/>
    <w:rsid w:val="00E53DA6"/>
  </w:style>
  <w:style w:type="paragraph" w:styleId="Fuzeile">
    <w:name w:val="footer"/>
    <w:basedOn w:val="Standard"/>
    <w:link w:val="FuzeileZeichen"/>
    <w:rsid w:val="00E53DA6"/>
    <w:pPr>
      <w:tabs>
        <w:tab w:val="center" w:pos="4536"/>
        <w:tab w:val="right" w:pos="9072"/>
      </w:tabs>
    </w:pPr>
  </w:style>
  <w:style w:type="character" w:customStyle="1" w:styleId="FuzeileZeichen">
    <w:name w:val="Fußzeile Zeichen"/>
    <w:basedOn w:val="Absatzstandardschriftart"/>
    <w:link w:val="Fuzeile"/>
    <w:rsid w:val="00E53DA6"/>
  </w:style>
  <w:style w:type="paragraph" w:styleId="StandardWeb">
    <w:name w:val="Normal (Web)"/>
    <w:basedOn w:val="Standard"/>
    <w:uiPriority w:val="99"/>
    <w:unhideWhenUsed/>
    <w:rsid w:val="00E53DA6"/>
    <w:pPr>
      <w:spacing w:before="100" w:beforeAutospacing="1" w:after="100" w:afterAutospacing="1"/>
    </w:pPr>
    <w:rPr>
      <w:rFonts w:ascii="Times" w:hAnsi="Times" w:cs="Times New Roman"/>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footer" Target="footer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439</Words>
  <Characters>2771</Characters>
  <Application>Microsoft Macintosh Word</Application>
  <DocSecurity>0</DocSecurity>
  <Lines>23</Lines>
  <Paragraphs>6</Paragraphs>
  <ScaleCrop>false</ScaleCrop>
  <Company>home</Company>
  <LinksUpToDate>false</LinksUpToDate>
  <CharactersWithSpaces>3204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pittroff</dc:creator>
  <cp:keywords/>
  <cp:lastModifiedBy>Simon Kirsch</cp:lastModifiedBy>
  <cp:revision>2</cp:revision>
  <cp:lastPrinted>2015-06-23T14:48:00Z</cp:lastPrinted>
  <dcterms:created xsi:type="dcterms:W3CDTF">2015-07-09T16:51:00Z</dcterms:created>
  <dcterms:modified xsi:type="dcterms:W3CDTF">2015-07-09T16:51:00Z</dcterms:modified>
</cp:coreProperties>
</file>